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96D53" w:rsidRPr="00516C0B" w:rsidTr="00E67355">
        <w:trPr>
          <w:trHeight w:val="809"/>
          <w:tblCellSpacing w:w="0" w:type="dxa"/>
        </w:trPr>
        <w:tc>
          <w:tcPr>
            <w:tcW w:w="3348" w:type="dxa"/>
            <w:shd w:val="clear" w:color="auto" w:fill="FFFFFF"/>
            <w:tcMar>
              <w:top w:w="0" w:type="dxa"/>
              <w:left w:w="108" w:type="dxa"/>
              <w:bottom w:w="0" w:type="dxa"/>
              <w:right w:w="108" w:type="dxa"/>
            </w:tcMar>
            <w:hideMark/>
          </w:tcPr>
          <w:p w:rsidR="00B96D53" w:rsidRPr="00516C0B" w:rsidRDefault="00B96D53" w:rsidP="00B96D53">
            <w:pPr>
              <w:spacing w:before="120" w:after="120" w:line="234" w:lineRule="atLeast"/>
              <w:jc w:val="center"/>
              <w:rPr>
                <w:rFonts w:eastAsia="Times New Roman" w:cs="Times New Roman"/>
                <w:color w:val="000000"/>
                <w:szCs w:val="24"/>
              </w:rPr>
            </w:pPr>
            <w:r w:rsidRPr="00516C0B">
              <w:rPr>
                <w:rFonts w:eastAsia="Times New Roman" w:cs="Times New Roman"/>
                <w:b/>
                <w:bCs/>
                <w:color w:val="000000"/>
                <w:szCs w:val="24"/>
                <w:lang w:val="vi-VN"/>
              </w:rPr>
              <w:t>BỘ TÀI CHÍNH</w:t>
            </w:r>
            <w:r w:rsidRPr="00516C0B">
              <w:rPr>
                <w:rFonts w:eastAsia="Times New Roman" w:cs="Times New Roman"/>
                <w:b/>
                <w:bCs/>
                <w:color w:val="000000"/>
                <w:szCs w:val="24"/>
                <w:lang w:val="vi-VN"/>
              </w:rPr>
              <w:br/>
              <w:t>-------</w:t>
            </w:r>
          </w:p>
        </w:tc>
        <w:tc>
          <w:tcPr>
            <w:tcW w:w="5508" w:type="dxa"/>
            <w:shd w:val="clear" w:color="auto" w:fill="FFFFFF"/>
            <w:tcMar>
              <w:top w:w="0" w:type="dxa"/>
              <w:left w:w="108" w:type="dxa"/>
              <w:bottom w:w="0" w:type="dxa"/>
              <w:right w:w="108" w:type="dxa"/>
            </w:tcMar>
            <w:hideMark/>
          </w:tcPr>
          <w:p w:rsidR="00B96D53" w:rsidRPr="00516C0B" w:rsidRDefault="00B96D53" w:rsidP="00B96D53">
            <w:pPr>
              <w:spacing w:before="120" w:after="120" w:line="234" w:lineRule="atLeast"/>
              <w:jc w:val="center"/>
              <w:rPr>
                <w:rFonts w:eastAsia="Times New Roman" w:cs="Times New Roman"/>
                <w:color w:val="000000"/>
                <w:szCs w:val="24"/>
              </w:rPr>
            </w:pPr>
            <w:r w:rsidRPr="00516C0B">
              <w:rPr>
                <w:rFonts w:eastAsia="Times New Roman" w:cs="Times New Roman"/>
                <w:b/>
                <w:bCs/>
                <w:color w:val="000000"/>
                <w:szCs w:val="24"/>
                <w:lang w:val="vi-VN"/>
              </w:rPr>
              <w:t>CỘNG HÒA XÃ HỘI CHỦ NGHĨA VIỆT NAM</w:t>
            </w:r>
            <w:r w:rsidRPr="00516C0B">
              <w:rPr>
                <w:rFonts w:eastAsia="Times New Roman" w:cs="Times New Roman"/>
                <w:b/>
                <w:bCs/>
                <w:color w:val="000000"/>
                <w:szCs w:val="24"/>
                <w:lang w:val="vi-VN"/>
              </w:rPr>
              <w:br/>
              <w:t>Độc lập - Tự do - Hạnh phúc</w:t>
            </w:r>
            <w:r w:rsidRPr="00516C0B">
              <w:rPr>
                <w:rFonts w:eastAsia="Times New Roman" w:cs="Times New Roman"/>
                <w:b/>
                <w:bCs/>
                <w:color w:val="000000"/>
                <w:szCs w:val="24"/>
                <w:lang w:val="vi-VN"/>
              </w:rPr>
              <w:br/>
              <w:t>---------------</w:t>
            </w:r>
          </w:p>
        </w:tc>
      </w:tr>
      <w:tr w:rsidR="00B96D53" w:rsidRPr="00516C0B" w:rsidTr="004D3B11">
        <w:trPr>
          <w:trHeight w:val="343"/>
          <w:tblCellSpacing w:w="0" w:type="dxa"/>
        </w:trPr>
        <w:tc>
          <w:tcPr>
            <w:tcW w:w="3348" w:type="dxa"/>
            <w:shd w:val="clear" w:color="auto" w:fill="FFFFFF"/>
            <w:tcMar>
              <w:top w:w="0" w:type="dxa"/>
              <w:left w:w="108" w:type="dxa"/>
              <w:bottom w:w="0" w:type="dxa"/>
              <w:right w:w="108" w:type="dxa"/>
            </w:tcMar>
            <w:hideMark/>
          </w:tcPr>
          <w:p w:rsidR="00B96D53" w:rsidRPr="00516C0B" w:rsidRDefault="00B96D53" w:rsidP="00B96D53">
            <w:pPr>
              <w:spacing w:before="120" w:after="120" w:line="234" w:lineRule="atLeast"/>
              <w:jc w:val="center"/>
              <w:rPr>
                <w:rFonts w:eastAsia="Times New Roman" w:cs="Times New Roman"/>
                <w:color w:val="000000"/>
                <w:szCs w:val="24"/>
              </w:rPr>
            </w:pPr>
            <w:r w:rsidRPr="00516C0B">
              <w:rPr>
                <w:rFonts w:eastAsia="Times New Roman" w:cs="Times New Roman"/>
                <w:color w:val="000000"/>
                <w:szCs w:val="24"/>
                <w:lang w:val="vi-VN"/>
              </w:rPr>
              <w:t>Số: 17/2022/TT-BTC</w:t>
            </w:r>
          </w:p>
        </w:tc>
        <w:tc>
          <w:tcPr>
            <w:tcW w:w="5508" w:type="dxa"/>
            <w:shd w:val="clear" w:color="auto" w:fill="FFFFFF"/>
            <w:tcMar>
              <w:top w:w="0" w:type="dxa"/>
              <w:left w:w="108" w:type="dxa"/>
              <w:bottom w:w="0" w:type="dxa"/>
              <w:right w:w="108" w:type="dxa"/>
            </w:tcMar>
            <w:hideMark/>
          </w:tcPr>
          <w:p w:rsidR="00B96D53" w:rsidRPr="00516C0B" w:rsidRDefault="00B96D53" w:rsidP="00B96D53">
            <w:pPr>
              <w:spacing w:before="120" w:after="120" w:line="234" w:lineRule="atLeast"/>
              <w:jc w:val="center"/>
              <w:rPr>
                <w:rFonts w:eastAsia="Times New Roman" w:cs="Times New Roman"/>
                <w:color w:val="000000"/>
                <w:szCs w:val="24"/>
              </w:rPr>
            </w:pPr>
            <w:r w:rsidRPr="00516C0B">
              <w:rPr>
                <w:rFonts w:eastAsia="Times New Roman" w:cs="Times New Roman"/>
                <w:i/>
                <w:iCs/>
                <w:color w:val="000000"/>
                <w:szCs w:val="24"/>
                <w:lang w:val="vi-VN"/>
              </w:rPr>
              <w:t>Hà Nội, ngày 08 tháng 3 năm 2022</w:t>
            </w:r>
          </w:p>
        </w:tc>
      </w:tr>
    </w:tbl>
    <w:p w:rsidR="00B96D53" w:rsidRPr="00516C0B" w:rsidRDefault="00B96D53" w:rsidP="00DF1A54">
      <w:pPr>
        <w:shd w:val="clear" w:color="auto" w:fill="FFFFFF"/>
        <w:spacing w:before="120" w:after="0" w:line="234" w:lineRule="atLeast"/>
        <w:jc w:val="center"/>
        <w:rPr>
          <w:rFonts w:eastAsia="Times New Roman" w:cs="Times New Roman"/>
          <w:color w:val="000000"/>
          <w:szCs w:val="24"/>
        </w:rPr>
      </w:pPr>
      <w:bookmarkStart w:id="0" w:name="loai_1"/>
      <w:r w:rsidRPr="00516C0B">
        <w:rPr>
          <w:rFonts w:eastAsia="Times New Roman" w:cs="Times New Roman"/>
          <w:b/>
          <w:bCs/>
          <w:color w:val="000000"/>
          <w:szCs w:val="24"/>
          <w:lang w:val="vi-VN"/>
        </w:rPr>
        <w:t>THÔNG TƯ</w:t>
      </w:r>
      <w:bookmarkEnd w:id="0"/>
    </w:p>
    <w:p w:rsidR="00B96D53" w:rsidRPr="00516C0B" w:rsidRDefault="00B96D53" w:rsidP="00DF1A54">
      <w:pPr>
        <w:shd w:val="clear" w:color="auto" w:fill="FFFFFF"/>
        <w:spacing w:after="0" w:line="234" w:lineRule="atLeast"/>
        <w:jc w:val="center"/>
        <w:rPr>
          <w:rFonts w:eastAsia="Times New Roman" w:cs="Times New Roman"/>
          <w:color w:val="000000"/>
          <w:szCs w:val="24"/>
        </w:rPr>
      </w:pPr>
      <w:bookmarkStart w:id="1" w:name="loai_1_name"/>
      <w:r w:rsidRPr="00516C0B">
        <w:rPr>
          <w:rFonts w:eastAsia="Times New Roman" w:cs="Times New Roman"/>
          <w:color w:val="000000"/>
          <w:szCs w:val="24"/>
          <w:lang w:val="vi-VN"/>
        </w:rPr>
        <w:t>HƯỚNG DẪN QUẢN LÝ VÀ SỬ DỤNG KINH PHÍ THỰC HIỆN ĐỀ ÁN “XÂY DỰNG XÃ HỘI HỌC TẬP GIAI ĐOẠN 2021-2030”</w:t>
      </w:r>
      <w:bookmarkEnd w:id="1"/>
    </w:p>
    <w:p w:rsidR="00B96D53" w:rsidRPr="00516C0B" w:rsidRDefault="00B96D53" w:rsidP="00DF1A54">
      <w:pPr>
        <w:shd w:val="clear" w:color="auto" w:fill="FFFFFF"/>
        <w:spacing w:after="0" w:line="234" w:lineRule="atLeast"/>
        <w:jc w:val="both"/>
        <w:rPr>
          <w:rFonts w:eastAsia="Times New Roman" w:cs="Times New Roman"/>
          <w:i/>
          <w:iCs/>
          <w:color w:val="000000"/>
          <w:szCs w:val="24"/>
          <w:lang w:val="vi-VN"/>
        </w:rPr>
      </w:pP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i/>
          <w:iCs/>
          <w:color w:val="000000"/>
          <w:szCs w:val="24"/>
          <w:lang w:val="vi-VN"/>
        </w:rPr>
        <w:t>Căn cứ Nghị định số </w:t>
      </w:r>
      <w:hyperlink r:id="rId6" w:tgtFrame="_blank" w:tooltip="Nghị định 163/2016/NĐ-CP" w:history="1">
        <w:r w:rsidRPr="00516C0B">
          <w:rPr>
            <w:rFonts w:eastAsia="Times New Roman" w:cs="Times New Roman"/>
            <w:i/>
            <w:iCs/>
            <w:color w:val="0E70C3"/>
            <w:szCs w:val="24"/>
            <w:lang w:val="vi-VN"/>
          </w:rPr>
          <w:t>163/2016/NĐ-CP</w:t>
        </w:r>
      </w:hyperlink>
      <w:r w:rsidRPr="00516C0B">
        <w:rPr>
          <w:rFonts w:eastAsia="Times New Roman" w:cs="Times New Roman"/>
          <w:i/>
          <w:iCs/>
          <w:color w:val="000000"/>
          <w:szCs w:val="24"/>
          <w:lang w:val="vi-VN"/>
        </w:rPr>
        <w:t> ngày 21 tháng 12 năm 2016 của Chính phủ quy định chi tiết thi hành một số điều của Luật Ngân sách nhà nước;</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i/>
          <w:iCs/>
          <w:color w:val="000000"/>
          <w:szCs w:val="24"/>
          <w:lang w:val="vi-VN"/>
        </w:rPr>
        <w:t>Căn cứ Nghị định số </w:t>
      </w:r>
      <w:hyperlink r:id="rId7" w:tgtFrame="_blank" w:tooltip="Nghị định 87/2017/NĐ-CP" w:history="1">
        <w:r w:rsidRPr="00516C0B">
          <w:rPr>
            <w:rFonts w:eastAsia="Times New Roman" w:cs="Times New Roman"/>
            <w:i/>
            <w:iCs/>
            <w:color w:val="0E70C3"/>
            <w:szCs w:val="24"/>
            <w:lang w:val="vi-VN"/>
          </w:rPr>
          <w:t>87/2017/NĐ-CP</w:t>
        </w:r>
      </w:hyperlink>
      <w:r w:rsidRPr="00516C0B">
        <w:rPr>
          <w:rFonts w:eastAsia="Times New Roman" w:cs="Times New Roman"/>
          <w:i/>
          <w:iCs/>
          <w:color w:val="000000"/>
          <w:szCs w:val="24"/>
          <w:lang w:val="vi-VN"/>
        </w:rPr>
        <w:t> ngày 26 tháng 7 năm 2017 của Chính phủ quy định chức năng, nhiệm vụ, quyền hạn và cơ cấu tổ chức của Bộ Tài chính;</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i/>
          <w:iCs/>
          <w:color w:val="000000"/>
          <w:szCs w:val="24"/>
          <w:lang w:val="vi-VN"/>
        </w:rPr>
        <w:t>Thực hiện Quyết định số </w:t>
      </w:r>
      <w:hyperlink r:id="rId8" w:tgtFrame="_blank" w:tooltip="Quyết định 1373/QĐ-TTg" w:history="1">
        <w:r w:rsidRPr="00516C0B">
          <w:rPr>
            <w:rFonts w:eastAsia="Times New Roman" w:cs="Times New Roman"/>
            <w:i/>
            <w:iCs/>
            <w:color w:val="0E70C3"/>
            <w:szCs w:val="24"/>
            <w:lang w:val="vi-VN"/>
          </w:rPr>
          <w:t>1373/QĐ-TTg</w:t>
        </w:r>
      </w:hyperlink>
      <w:r w:rsidRPr="00516C0B">
        <w:rPr>
          <w:rFonts w:eastAsia="Times New Roman" w:cs="Times New Roman"/>
          <w:i/>
          <w:iCs/>
          <w:color w:val="000000"/>
          <w:szCs w:val="24"/>
          <w:lang w:val="vi-VN"/>
        </w:rPr>
        <w:t> ngày 30 tháng 7 năm 2021 của Thủ tướng Chính phủ phê duyệt Đề án “Xây dựng xã hội học tập giai đoạn 2021-2030”;</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i/>
          <w:iCs/>
          <w:color w:val="000000"/>
          <w:szCs w:val="24"/>
          <w:lang w:val="vi-VN"/>
        </w:rPr>
        <w:t>Theo đề nghị của Vụ trưởng Vụ Tài chính Hành chính sự nghiệp;</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i/>
          <w:iCs/>
          <w:color w:val="000000"/>
          <w:szCs w:val="24"/>
          <w:lang w:val="vi-VN"/>
        </w:rPr>
        <w:t>Bộ trưởng Bộ Tài chính ban hành Thông tư hướng dẫn quản lý và sử dụng kinh phí thực hiện Đề án “Xây dựng xã hội học tập giai đoạn 2021- 2030”.</w:t>
      </w:r>
    </w:p>
    <w:p w:rsidR="00B96D53" w:rsidRPr="00516C0B" w:rsidRDefault="00B96D53" w:rsidP="00DF1A54">
      <w:pPr>
        <w:shd w:val="clear" w:color="auto" w:fill="FFFFFF"/>
        <w:spacing w:after="0" w:line="234" w:lineRule="atLeast"/>
        <w:jc w:val="both"/>
        <w:rPr>
          <w:rFonts w:eastAsia="Times New Roman" w:cs="Times New Roman"/>
          <w:b/>
          <w:bCs/>
          <w:color w:val="000000"/>
          <w:szCs w:val="24"/>
          <w:lang w:val="vi-VN"/>
        </w:rPr>
      </w:pPr>
      <w:bookmarkStart w:id="2" w:name="dieu_1"/>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b/>
          <w:bCs/>
          <w:color w:val="000000"/>
          <w:szCs w:val="24"/>
          <w:lang w:val="vi-VN"/>
        </w:rPr>
        <w:t>Điều 1. Phạm vi điều chỉnh</w:t>
      </w:r>
      <w:bookmarkEnd w:id="2"/>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1. Thông tư này hướng dẫn quản lý và sử dụng kinh phí thực hiện Đề án “Xây dựng xã hội học tập giai đoạn 2021-2030” (sau đây gọi là Đề án) quy định tại Quyết định số </w:t>
      </w:r>
      <w:hyperlink r:id="rId9" w:tgtFrame="_blank" w:tooltip="Quyết định 1373/QĐ-TTg" w:history="1">
        <w:r w:rsidRPr="00516C0B">
          <w:rPr>
            <w:rFonts w:eastAsia="Times New Roman" w:cs="Times New Roman"/>
            <w:color w:val="0E70C3"/>
            <w:szCs w:val="24"/>
            <w:lang w:val="vi-VN"/>
          </w:rPr>
          <w:t>1373/QĐ-TTg</w:t>
        </w:r>
      </w:hyperlink>
      <w:r w:rsidRPr="00516C0B">
        <w:rPr>
          <w:rFonts w:eastAsia="Times New Roman" w:cs="Times New Roman"/>
          <w:color w:val="000000"/>
          <w:szCs w:val="24"/>
          <w:lang w:val="vi-VN"/>
        </w:rPr>
        <w:t> ngày 30 tháng 7 năm 2021 của Thủ tướng Chính phủ phê duyệt Đề án “Xây dựng xã hội học tập giai đoạn 2021-2030” (sau đây gọi là Quyết định số 1373/QĐ-TTg).</w:t>
      </w:r>
    </w:p>
    <w:p w:rsidR="00B96D53" w:rsidRPr="00516C0B" w:rsidRDefault="00B96D53" w:rsidP="00DF1A54">
      <w:pPr>
        <w:shd w:val="clear" w:color="auto" w:fill="FFFFFF"/>
        <w:spacing w:after="0" w:line="234" w:lineRule="atLeast"/>
        <w:jc w:val="both"/>
        <w:rPr>
          <w:rFonts w:eastAsia="Times New Roman" w:cs="Times New Roman"/>
          <w:color w:val="000000"/>
          <w:szCs w:val="24"/>
          <w:lang w:val="vi-VN"/>
        </w:rPr>
      </w:pPr>
      <w:r w:rsidRPr="00516C0B">
        <w:rPr>
          <w:rFonts w:eastAsia="Times New Roman" w:cs="Times New Roman"/>
          <w:color w:val="000000"/>
          <w:szCs w:val="24"/>
          <w:lang w:val="vi-VN"/>
        </w:rPr>
        <w:t>2. Thông tư này không áp dụng đối với các Đề án quy định tại Phụ lục ban hành kèm theo Quyết định số </w:t>
      </w:r>
      <w:hyperlink r:id="rId10" w:tgtFrame="_blank" w:tooltip="1373/QĐ-TTg" w:history="1">
        <w:r w:rsidRPr="00516C0B">
          <w:rPr>
            <w:rFonts w:eastAsia="Times New Roman" w:cs="Times New Roman"/>
            <w:color w:val="0E70C3"/>
            <w:szCs w:val="24"/>
            <w:lang w:val="vi-VN"/>
          </w:rPr>
          <w:t>1373/QĐ-TTg</w:t>
        </w:r>
      </w:hyperlink>
      <w:r w:rsidRPr="00516C0B">
        <w:rPr>
          <w:rFonts w:eastAsia="Times New Roman" w:cs="Times New Roman"/>
          <w:color w:val="000000"/>
          <w:szCs w:val="24"/>
          <w:lang w:val="vi-VN"/>
        </w:rPr>
        <w:t> gồm: Đề án “Đẩy mạnh các hoạt động học tập suốt đời trong công nhân lao động tại các doanh nghiệp đến năm 2030”, Đề án “Đẩy mạnh các hoạt động học tập suốt đời trong các thư viện, bảo tàng, nhà văn hóa, câu lạc bộ đến năm 2030”, Đề án “Xây dựng kho học liệu mở phục vụ tự học và học tập suốt đời trên hệ sinh thái truyền hình giáo dục Việt Nam” và Đề án “Hỗ trợ cán bộ y tế tuyến cơ sở học tập suốt đời về chuyên môn khám chữa bệnh, phòng bệnh”. Việc quản lý và sử dụng kinh phí để thực hiện các Đề án này thực hiện theo các Quyết định phê duyệt của Thủ tướng Chính phủ và quy định của pháp luật về ngân sách nhà nước.</w:t>
      </w:r>
    </w:p>
    <w:p w:rsidR="00B96D53" w:rsidRPr="00516C0B" w:rsidRDefault="00B96D53" w:rsidP="00DF1A54">
      <w:pPr>
        <w:shd w:val="clear" w:color="auto" w:fill="FFFFFF"/>
        <w:spacing w:after="0" w:line="234" w:lineRule="atLeast"/>
        <w:jc w:val="both"/>
        <w:rPr>
          <w:rFonts w:eastAsia="Times New Roman" w:cs="Times New Roman"/>
          <w:color w:val="000000"/>
          <w:szCs w:val="24"/>
        </w:rPr>
      </w:pPr>
      <w:bookmarkStart w:id="3" w:name="dieu_2"/>
      <w:r w:rsidRPr="00516C0B">
        <w:rPr>
          <w:rFonts w:eastAsia="Times New Roman" w:cs="Times New Roman"/>
          <w:b/>
          <w:bCs/>
          <w:color w:val="000000"/>
          <w:szCs w:val="24"/>
          <w:lang w:val="vi-VN"/>
        </w:rPr>
        <w:t>Điều 2. Đối tượng áp dụng</w:t>
      </w:r>
      <w:bookmarkEnd w:id="3"/>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Thông tư này áp dụng đối với các cơ quan, tổ chức, cá nhân có liên quan đến quản lý, sử dụng kinh phí thực hiện Đề án.</w:t>
      </w:r>
    </w:p>
    <w:p w:rsidR="00B96D53" w:rsidRPr="00516C0B" w:rsidRDefault="00B96D53" w:rsidP="00DF1A54">
      <w:pPr>
        <w:shd w:val="clear" w:color="auto" w:fill="FFFFFF"/>
        <w:spacing w:after="0" w:line="234" w:lineRule="atLeast"/>
        <w:jc w:val="both"/>
        <w:rPr>
          <w:rFonts w:eastAsia="Times New Roman" w:cs="Times New Roman"/>
          <w:color w:val="000000"/>
          <w:szCs w:val="24"/>
        </w:rPr>
      </w:pPr>
      <w:bookmarkStart w:id="4" w:name="dieu_3"/>
      <w:r w:rsidRPr="00516C0B">
        <w:rPr>
          <w:rFonts w:eastAsia="Times New Roman" w:cs="Times New Roman"/>
          <w:b/>
          <w:bCs/>
          <w:color w:val="000000"/>
          <w:szCs w:val="24"/>
          <w:lang w:val="vi-VN"/>
        </w:rPr>
        <w:t>Điều 3. Nguồn kinh phí thực hiện</w:t>
      </w:r>
      <w:bookmarkEnd w:id="4"/>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1. Ngân sách nhà nước bảo đảm kinh phí thực hiện Đề án theo nhiệm vụ được giao cho các Bộ, cơ quan trung ương và địa phương theo phân cấp của Luật ngân sách nhà nước và các văn bản hướng dẫn. Các cơ quan, tổ chức, cá nhân có trách nhiệm quản lý, sử dụng kinh phí đúng mục đích, có hiệu quả, công khai, minh bạch, đúng chế độ.</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2. Nguồn kinh phí huy động từ các nguồn tài trợ, đóng góp của các doanh nghiệp, tổ chức, cá nhân và các nguồn tài trợ hợp pháp khác. Nội dung và mức chi từ những nguồn kinh phí này được thực hiện theo các quy định hiện hành đối với từng loại nguồn kinh phí và khuyến khích các đơn vị thực hiện theo quy định tại Thông tư này.</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lang w:val="vi-VN"/>
        </w:rPr>
      </w:pPr>
      <w:r w:rsidRPr="00516C0B">
        <w:rPr>
          <w:rFonts w:eastAsia="Times New Roman" w:cs="Times New Roman"/>
          <w:color w:val="000000"/>
          <w:szCs w:val="24"/>
          <w:lang w:val="vi-VN"/>
        </w:rPr>
        <w:t>3. Việc lập dự toán, quản lý, sử dụng và quyết toán kinh phí để thực hiện Đ</w:t>
      </w:r>
      <w:r w:rsidRPr="00516C0B">
        <w:rPr>
          <w:rFonts w:eastAsia="Times New Roman" w:cs="Times New Roman"/>
          <w:color w:val="000000"/>
          <w:szCs w:val="24"/>
        </w:rPr>
        <w:t>ề </w:t>
      </w:r>
      <w:r w:rsidRPr="00516C0B">
        <w:rPr>
          <w:rFonts w:eastAsia="Times New Roman" w:cs="Times New Roman"/>
          <w:color w:val="000000"/>
          <w:szCs w:val="24"/>
          <w:lang w:val="vi-VN"/>
        </w:rPr>
        <w:t>án theo quy định của pháp luật về ngân sách nhà nước và pháp luật về kế toán.</w:t>
      </w:r>
    </w:p>
    <w:p w:rsidR="00B96D53" w:rsidRPr="00516C0B" w:rsidRDefault="00B96D53" w:rsidP="00DF1A54">
      <w:pPr>
        <w:shd w:val="clear" w:color="auto" w:fill="FFFFFF"/>
        <w:spacing w:after="0" w:line="234" w:lineRule="atLeast"/>
        <w:jc w:val="both"/>
        <w:rPr>
          <w:rFonts w:eastAsia="Times New Roman" w:cs="Times New Roman"/>
          <w:color w:val="000000"/>
          <w:szCs w:val="24"/>
        </w:rPr>
      </w:pPr>
      <w:bookmarkStart w:id="5" w:name="dieu_4"/>
      <w:r w:rsidRPr="00516C0B">
        <w:rPr>
          <w:rFonts w:eastAsia="Times New Roman" w:cs="Times New Roman"/>
          <w:b/>
          <w:bCs/>
          <w:color w:val="000000"/>
          <w:szCs w:val="24"/>
          <w:lang w:val="vi-VN"/>
        </w:rPr>
        <w:t>Điều 4. Nội dung và mức chi từ ngân sách nhà nước để thực hiện Đề án tại các Bộ, cơ quan Trung ương</w:t>
      </w:r>
      <w:bookmarkEnd w:id="5"/>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1. Chi các hoạt động triển khai, giám sát, đánh giá, sơ kết, tổng kết việc thực hiện Đề án và các Đề án thành phần, gồm:</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lastRenderedPageBreak/>
        <w:t>a) Chi công tác phí, chi tổ chức hội nghị, hội thảo giới thiệu, tập huấn triển khai các nội dung của Đề án; các hội nghị sơ kết, tổng kết cấp Trung ương: Thực hiện theo quy định tại Thông tư số </w:t>
      </w:r>
      <w:hyperlink r:id="rId11" w:tgtFrame="_blank" w:tooltip="Thông tư 40/2017/TT-BTC" w:history="1">
        <w:r w:rsidRPr="00516C0B">
          <w:rPr>
            <w:rFonts w:eastAsia="Times New Roman" w:cs="Times New Roman"/>
            <w:color w:val="0E70C3"/>
            <w:szCs w:val="24"/>
            <w:lang w:val="vi-VN"/>
          </w:rPr>
          <w:t>40/2017/TT-BTC</w:t>
        </w:r>
      </w:hyperlink>
      <w:r w:rsidRPr="00516C0B">
        <w:rPr>
          <w:rFonts w:eastAsia="Times New Roman" w:cs="Times New Roman"/>
          <w:color w:val="000000"/>
          <w:szCs w:val="24"/>
          <w:lang w:val="vi-VN"/>
        </w:rPr>
        <w:t> ngày 28 tháng 4 năm 2017 của Bộ Tài chính quy định chế độ công tác phí, chế độ chi hội nghị (sau đây gọi là Thông tư số 40/2017/TT-BTC);</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b) Chi khen thưởng cho tập thể, cá nhân có thành tích xuất sắc trong triển khai thực hiện Đề án theo quyết định của cấp có thẩm quyền: Nội dung và mức chi thực hiện theo quy định của pháp luật về thi đua khen thưởng.</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2. Chi điều tra, khảo sát về tình hình, nhu cầu học tập của cán bộ, công chức, viên chức, công nhân lao động, lao động nông thôn và học sinh, sinh viên để có các hình thức, biện pháp tuyên truyền phù hợp, hiệu quả: Thực hiện theo quy định tại Thông tư số </w:t>
      </w:r>
      <w:hyperlink r:id="rId12" w:tgtFrame="_blank" w:tooltip="Thông tư 109/2016/TT-BTC" w:history="1">
        <w:r w:rsidRPr="00516C0B">
          <w:rPr>
            <w:rFonts w:eastAsia="Times New Roman" w:cs="Times New Roman"/>
            <w:color w:val="0E70C3"/>
            <w:szCs w:val="24"/>
            <w:lang w:val="vi-VN"/>
          </w:rPr>
          <w:t>109/2016/TT-BTC</w:t>
        </w:r>
      </w:hyperlink>
      <w:r w:rsidRPr="00516C0B">
        <w:rPr>
          <w:rFonts w:eastAsia="Times New Roman" w:cs="Times New Roman"/>
          <w:color w:val="000000"/>
          <w:szCs w:val="24"/>
          <w:lang w:val="vi-VN"/>
        </w:rPr>
        <w:t> ngày 30 tháng 6 năm 2016 của Bộ Tài chính quy định lập dự toán, quản lý, sử dụng và quyết toán kinh phí thực hiện các cuộc điều tra thống kê, tổng điều tra thống kê quốc gia (sau đây gọi là Thông tư số 109/2016/TT-BTC).</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3. Xây dựng tài liệu cho các cuộc bồi dưỡng, tập huấn; tài liệu truyền thông để hỗ trợ nâng cao năng lực cho cán bộ, giáo viên và cán bộ chủ chốt của các hội về công tác xóa mù chữ, công tác quản lý, điều hành và tổ chức hoạt động tại các trung tâm học tập cộng đồng và công tác kiểm tra, đánh giá, công nhận/xếp loại “Công dân học tập”, “Gia đình học tập”, “Đơn vị học tập”, “Cộng đồng học tập cấp thôn/bản/ấp/tổ dân phố hoặc cấp xã/phường/thị trấn”, “Huyện học tập” và “Tỉnh học tập” (sau đây gọi là các mô hình học tập): Thực hiện theo quy định tại Thông tư số </w:t>
      </w:r>
      <w:hyperlink r:id="rId13" w:tgtFrame="_blank" w:tooltip="Thông tư 76/2018/TT-BTC" w:history="1">
        <w:r w:rsidRPr="00516C0B">
          <w:rPr>
            <w:rFonts w:eastAsia="Times New Roman" w:cs="Times New Roman"/>
            <w:color w:val="0E70C3"/>
            <w:szCs w:val="24"/>
            <w:lang w:val="vi-VN"/>
          </w:rPr>
          <w:t>76/2018/TT-BTC</w:t>
        </w:r>
      </w:hyperlink>
      <w:r w:rsidRPr="00516C0B">
        <w:rPr>
          <w:rFonts w:eastAsia="Times New Roman" w:cs="Times New Roman"/>
          <w:color w:val="000000"/>
          <w:szCs w:val="24"/>
          <w:lang w:val="vi-VN"/>
        </w:rPr>
        <w:t> ngày 17 tháng 8 năm 2018 của Bộ Tài chính hướng dẫn nội dung, mức chi xây dựng chương trình đào tạo, biên soạn giáo trình môn học đối với giáo dục đại học, giáo dục nghề nghiệp.</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4. Chi công tác tuyên truyền, gồm:</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a) Phổ biến, giáo dục pháp luật nâng cao nhận thức, trách nhiệm của các cấp, các ngành: Thực hiện theo quy định tại Thông tư liên tịch số </w:t>
      </w:r>
      <w:hyperlink r:id="rId14" w:tgtFrame="_blank" w:tooltip="Thông tư liên tịch 14/2014/TTLT-BTC-BTP" w:history="1">
        <w:r w:rsidRPr="00516C0B">
          <w:rPr>
            <w:rFonts w:eastAsia="Times New Roman" w:cs="Times New Roman"/>
            <w:color w:val="0E70C3"/>
            <w:szCs w:val="24"/>
            <w:lang w:val="vi-VN"/>
          </w:rPr>
          <w:t>14/2014/TTLT-BTC-BTP</w:t>
        </w:r>
      </w:hyperlink>
      <w:r w:rsidRPr="00516C0B">
        <w:rPr>
          <w:rFonts w:eastAsia="Times New Roman" w:cs="Times New Roman"/>
          <w:color w:val="000000"/>
          <w:szCs w:val="24"/>
          <w:lang w:val="vi-VN"/>
        </w:rPr>
        <w:t> ngày 27 tháng 01 năm 2014 của Bộ Tài chính, Bộ Tư pháp quy định việc lập dự toán, quản lý, sử dụng và quyết toán kinh phí ngân sách nhà nước bảo đảm cho công tác phổ biến, giáo dục pháp luật và chuẩn tiếp cận pháp luật của người dân tại cơ sở (sau đây gọi là Thông tư liên tịch số 14/2014/TTLT-BTC-BTP);</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b) Sản xuất chương trình phát thanh, truyền hình, phát hành ấn phẩm, sản phẩm truyền thông và tài liệu phục vụ cho hoạt động tuyên truyền: Thủ trưởng cơ quan, đơn vị được giao nhiệm vụ quyết định lựa chọn nội dung, hình thức ấn phẩm, sản phẩm truyền thông trên cơ sở dự toán được giao và thực hiện theo hình thức đấu thầu hoặc đặt hàng theo quy định của pháp luật hiện hành;</w:t>
      </w:r>
    </w:p>
    <w:p w:rsidR="00B96D53" w:rsidRPr="00516C0B" w:rsidRDefault="00B96D53" w:rsidP="00DF1A54">
      <w:pPr>
        <w:shd w:val="clear" w:color="auto" w:fill="FFFFFF"/>
        <w:spacing w:after="0" w:line="234" w:lineRule="atLeast"/>
        <w:jc w:val="both"/>
        <w:rPr>
          <w:rFonts w:eastAsia="Times New Roman" w:cs="Times New Roman"/>
          <w:color w:val="000000"/>
          <w:szCs w:val="24"/>
          <w:lang w:val="vi-VN"/>
        </w:rPr>
      </w:pPr>
      <w:r w:rsidRPr="00516C0B">
        <w:rPr>
          <w:rFonts w:eastAsia="Times New Roman" w:cs="Times New Roman"/>
          <w:color w:val="000000"/>
          <w:szCs w:val="24"/>
          <w:lang w:val="vi-VN"/>
        </w:rPr>
        <w:t>c) Tổ chức các hoạt động tư vấn, truyền thông, diễn đàn về các mô hình học tập, học tập suốt đời và xây dựng xã hội học tập: Thực hiện theo quy định tại Thông tư số </w:t>
      </w:r>
      <w:hyperlink r:id="rId15" w:tgtFrame="_blank" w:tooltip="Thông tư 40/2017/TT-BTC" w:history="1">
        <w:r w:rsidRPr="00516C0B">
          <w:rPr>
            <w:rFonts w:eastAsia="Times New Roman" w:cs="Times New Roman"/>
            <w:color w:val="0E70C3"/>
            <w:szCs w:val="24"/>
            <w:lang w:val="vi-VN"/>
          </w:rPr>
          <w:t>40/2017/TT-BTC</w:t>
        </w:r>
      </w:hyperlink>
      <w:r w:rsidRPr="00516C0B">
        <w:rPr>
          <w:rFonts w:eastAsia="Times New Roman" w:cs="Times New Roman"/>
          <w:color w:val="000000"/>
          <w:szCs w:val="24"/>
          <w:lang w:val="vi-VN"/>
        </w:rPr>
        <w:t> .</w:t>
      </w:r>
    </w:p>
    <w:p w:rsidR="00B96D53" w:rsidRPr="00516C0B" w:rsidRDefault="00B96D53" w:rsidP="00DF1A54">
      <w:pPr>
        <w:shd w:val="clear" w:color="auto" w:fill="FFFFFF"/>
        <w:spacing w:after="0" w:line="234" w:lineRule="atLeast"/>
        <w:jc w:val="both"/>
        <w:rPr>
          <w:rFonts w:eastAsia="Times New Roman" w:cs="Times New Roman"/>
          <w:color w:val="000000"/>
          <w:szCs w:val="24"/>
        </w:rPr>
      </w:pPr>
    </w:p>
    <w:p w:rsidR="00B96D53" w:rsidRPr="00516C0B" w:rsidRDefault="00B96D53" w:rsidP="00DF1A54">
      <w:pPr>
        <w:shd w:val="clear" w:color="auto" w:fill="FFFFFF"/>
        <w:spacing w:after="0" w:line="234" w:lineRule="atLeast"/>
        <w:jc w:val="both"/>
        <w:rPr>
          <w:rFonts w:eastAsia="Times New Roman" w:cs="Times New Roman"/>
          <w:color w:val="000000"/>
          <w:szCs w:val="24"/>
        </w:rPr>
      </w:pPr>
      <w:bookmarkStart w:id="6" w:name="dieu_5"/>
      <w:r w:rsidRPr="00516C0B">
        <w:rPr>
          <w:rFonts w:eastAsia="Times New Roman" w:cs="Times New Roman"/>
          <w:b/>
          <w:bCs/>
          <w:color w:val="000000"/>
          <w:szCs w:val="24"/>
          <w:lang w:val="vi-VN"/>
        </w:rPr>
        <w:t>Điều 5. Nội dung và mức chi từ ngân sách nhà nước để thực hiện Đề án tại các địa phương</w:t>
      </w:r>
      <w:bookmarkEnd w:id="6"/>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1. Chi công tác phổ biến, giáo dục pháp luật nâng cao nhận thức, trách nhiệm của các cấp, các ngành, các tổ chức, đoàn thể, các lực lượng xã hội tại địa phương về mục đích, ý nghĩa, vai trò và ích lợi của học tập suốt đời, xây dựng xã hội học tập; chi tổ chức Tuần lễ hưởng ứng học tập suốt đời hàng năm: Thực hiện theo quy định tại Thông tư liên tịch số </w:t>
      </w:r>
      <w:hyperlink r:id="rId16" w:tgtFrame="_blank" w:tooltip="Thông tư liên tịch 14/2014/TTLT-BTC-BTP" w:history="1">
        <w:r w:rsidRPr="00516C0B">
          <w:rPr>
            <w:rFonts w:eastAsia="Times New Roman" w:cs="Times New Roman"/>
            <w:color w:val="0E70C3"/>
            <w:szCs w:val="24"/>
            <w:lang w:val="vi-VN"/>
          </w:rPr>
          <w:t>14/2014/TTLT-BTC-BTP</w:t>
        </w:r>
      </w:hyperlink>
      <w:r w:rsidRPr="00516C0B">
        <w:rPr>
          <w:rFonts w:eastAsia="Times New Roman" w:cs="Times New Roman"/>
          <w:color w:val="000000"/>
          <w:szCs w:val="24"/>
          <w:lang w:val="vi-VN"/>
        </w:rPr>
        <w:t> .</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2.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 các cấp ở địa phương: Thực hiện theo quy định tại Thông tư số 40/2017/TT- BTC.</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3. Chi đào tạo, bồi dưỡng, tập huấn nâng cao năng lực chuyên môn, nghiệp vụ cho các đối tượng thuộc các hoạt động của Đề án; chi bồi dưỡng cho báo cáo viên/hướng dẫn viên tham gia giảng dạy tại Trung tâm học tập cộng đồng (bao gồm công tác chuẩn bị, soạn bài và báo cáo); chi đào tạo bồi dưỡng nâng cao năng lực quản lý của Trung tâm học tập cộng đồng: Thực hiện theo quy định tại Thông tư số </w:t>
      </w:r>
      <w:hyperlink r:id="rId17" w:tgtFrame="_blank" w:tooltip="Thông tư 36/2018/TT-BTC" w:history="1">
        <w:r w:rsidRPr="00516C0B">
          <w:rPr>
            <w:rFonts w:eastAsia="Times New Roman" w:cs="Times New Roman"/>
            <w:color w:val="0E70C3"/>
            <w:szCs w:val="24"/>
            <w:lang w:val="vi-VN"/>
          </w:rPr>
          <w:t>36/2018/TT-BTC</w:t>
        </w:r>
      </w:hyperlink>
      <w:r w:rsidRPr="00516C0B">
        <w:rPr>
          <w:rFonts w:eastAsia="Times New Roman" w:cs="Times New Roman"/>
          <w:color w:val="000000"/>
          <w:szCs w:val="24"/>
          <w:lang w:val="vi-VN"/>
        </w:rPr>
        <w:t> ngày 30 tháng 3 năm 2018 của Bộ Tài chính hướng dẫn lập dự toán, quản lý và sử dụng kinh phí dành cho công tác đào tạo, bồi dưỡng cán bộ, công chức, viên chức.</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4. Chi kiểm tra, đánh giá, xếp loại/công nhận các mô hình học tập, gồm:</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a) Chi tổ chức các cuộc họp, hội nghị triển khai kế hoạch đánh giá, xếp loại/công nhận các mô hình học tập: Thực hiện theo quy định tại Thông tư số </w:t>
      </w:r>
      <w:hyperlink r:id="rId18" w:tgtFrame="_blank" w:tooltip="Thông tư 40/2017/TT-BTC" w:history="1">
        <w:r w:rsidRPr="00516C0B">
          <w:rPr>
            <w:rFonts w:eastAsia="Times New Roman" w:cs="Times New Roman"/>
            <w:color w:val="0E70C3"/>
            <w:szCs w:val="24"/>
            <w:lang w:val="vi-VN"/>
          </w:rPr>
          <w:t>40/2017/TT-BTC</w:t>
        </w:r>
      </w:hyperlink>
      <w:r w:rsidRPr="00516C0B">
        <w:rPr>
          <w:rFonts w:eastAsia="Times New Roman" w:cs="Times New Roman"/>
          <w:color w:val="000000"/>
          <w:szCs w:val="24"/>
          <w:lang w:val="vi-VN"/>
        </w:rPr>
        <w:t> ;</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b) 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hình học tập: Thực hiện theo quy định tại Thông tư số </w:t>
      </w:r>
      <w:hyperlink r:id="rId19" w:tgtFrame="_blank" w:tooltip="Thông tư 109/2016/TT-BTC" w:history="1">
        <w:r w:rsidRPr="00516C0B">
          <w:rPr>
            <w:rFonts w:eastAsia="Times New Roman" w:cs="Times New Roman"/>
            <w:color w:val="0E70C3"/>
            <w:szCs w:val="24"/>
            <w:lang w:val="vi-VN"/>
          </w:rPr>
          <w:t>109/2016/TT-BTC</w:t>
        </w:r>
      </w:hyperlink>
      <w:r w:rsidRPr="00516C0B">
        <w:rPr>
          <w:rFonts w:eastAsia="Times New Roman" w:cs="Times New Roman"/>
          <w:color w:val="000000"/>
          <w:szCs w:val="24"/>
          <w:lang w:val="vi-VN"/>
        </w:rPr>
        <w:t> .</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5. Chi tiền điện (hoặc dầu đ</w:t>
      </w:r>
      <w:r w:rsidRPr="00516C0B">
        <w:rPr>
          <w:rFonts w:eastAsia="Times New Roman" w:cs="Times New Roman"/>
          <w:color w:val="000000"/>
          <w:szCs w:val="24"/>
        </w:rPr>
        <w:t>è</w:t>
      </w:r>
      <w:r w:rsidRPr="00516C0B">
        <w:rPr>
          <w:rFonts w:eastAsia="Times New Roman" w:cs="Times New Roman"/>
          <w:color w:val="000000"/>
          <w:szCs w:val="24"/>
          <w:lang w:val="vi-VN"/>
        </w:rPr>
        <w:t>n) đối với các lớp học tại Trung tâm học tập cộng đồng ban đêm; chi hỗ trợ tài liệu, sách giáo khoa, đồ dùng phục vụ công tác giảng dạy, học tập tại các Trung tâm học tập cộng đồng: Giám đốc Trung tâm học tập cộng đồng quyết định mức chi cụ thể trong phạm vi dự toán được giao của đơn vị để thực hiện và thanh toán theo hóa đơn thực tế phát sinh.</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6. Chi cho công tác xóa mù chữ và phổ cập giáo dục:</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a) Chi cho các hoạt động điều tra, khảo sát phục vụ công tác xóa mù chữ và phổ cập giáo dục mầm non, phổ cập giáo dục tiểu học và phổ cập giáo dục trung học cơ sở (sau đây viết tắt là phổ cập giáo dục): Thực hiện theo quy định tại Thông tư số </w:t>
      </w:r>
      <w:hyperlink r:id="rId20" w:tgtFrame="_blank" w:tooltip="Thông tư 109/2016/TT-BTC" w:history="1">
        <w:r w:rsidRPr="00516C0B">
          <w:rPr>
            <w:rFonts w:eastAsia="Times New Roman" w:cs="Times New Roman"/>
            <w:color w:val="0E70C3"/>
            <w:szCs w:val="24"/>
            <w:lang w:val="vi-VN"/>
          </w:rPr>
          <w:t>109/2016/TT-BTC</w:t>
        </w:r>
      </w:hyperlink>
      <w:r w:rsidRPr="00516C0B">
        <w:rPr>
          <w:rFonts w:eastAsia="Times New Roman" w:cs="Times New Roman"/>
          <w:color w:val="000000"/>
          <w:szCs w:val="24"/>
          <w:lang w:val="vi-VN"/>
        </w:rPr>
        <w:t> ;</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b) Đối với các học viên các lớp học xóa mù chữ được nhà nước hỗ trợ học phẩm: Tùy thuộc tình hình thực tế tại địa phương, Ủy ban nhân dân cấp tỉnh phê duyệt danh mục tên học phẩm, số lượng học phẩm hỗ trợ trong phạm vi danh mục hỗ trợ học phẩm đối với cấp trung học cơ sở quy định tại </w:t>
      </w:r>
      <w:bookmarkStart w:id="7" w:name="dc_1"/>
      <w:r w:rsidRPr="00516C0B">
        <w:rPr>
          <w:rFonts w:eastAsia="Times New Roman" w:cs="Times New Roman"/>
          <w:color w:val="000000"/>
          <w:szCs w:val="24"/>
          <w:lang w:val="vi-VN"/>
        </w:rPr>
        <w:t>Khoản 6 Điều 2 Thông tư liên tịch số 109/2009/TTLT-BTC-BGDĐT</w:t>
      </w:r>
      <w:bookmarkEnd w:id="7"/>
      <w:r w:rsidRPr="00516C0B">
        <w:rPr>
          <w:rFonts w:eastAsia="Times New Roman" w:cs="Times New Roman"/>
          <w:color w:val="000000"/>
          <w:szCs w:val="24"/>
          <w:lang w:val="vi-VN"/>
        </w:rPr>
        <w:t> ngày 29 tháng 5 năm 2009 của Bộ Tài chính, Bộ Giáo dục và Đào tạo hướng dẫn một số chế độ tài chính đối với học sinh các trường phổ thông dân tộc nội trú và các trường dự bị đại học dân tộc;</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c) Ngân sách nhà nước hỗ trợ kinh phí chi thắp sáng ban đêm, chi mua sổ sách theo dõi quá trình học tập, sách giáo khoa dùng chung (đối với các lớp học phổ cập, xóa mù chữ ban đêm) và chi tuyên truyền, huy động người mù chữ, tái mù chữ đến lớp xóa mù chữ: Mức chi cụ thể do Hội đồng nhân dân cấp tỉnh quyết định căn cứ khả năng cân đối của ngân sách địa phương, quy mô và thời gian hoạt động của các lớp xóa mù chữ;</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d) Chi tiền lương đối với giáo viên thuộc biên chế dạy lớp xóa mù, chống tái mù chữ thuộc nhiệm vụ chuyên môn của cơ sở giáo dục đào tạo công lập: chi trả theo quy định tại Nghị định số </w:t>
      </w:r>
      <w:hyperlink r:id="rId21" w:tgtFrame="_blank" w:tooltip="Nghị định 204/2004/NĐ-CP" w:history="1">
        <w:r w:rsidRPr="00516C0B">
          <w:rPr>
            <w:rFonts w:eastAsia="Times New Roman" w:cs="Times New Roman"/>
            <w:color w:val="0E70C3"/>
            <w:szCs w:val="24"/>
            <w:lang w:val="vi-VN"/>
          </w:rPr>
          <w:t>204/2004/NĐ-CP</w:t>
        </w:r>
      </w:hyperlink>
      <w:r w:rsidRPr="00516C0B">
        <w:rPr>
          <w:rFonts w:eastAsia="Times New Roman" w:cs="Times New Roman"/>
          <w:color w:val="000000"/>
          <w:szCs w:val="24"/>
          <w:lang w:val="vi-VN"/>
        </w:rPr>
        <w:t> ngày 14 tháng 12 năm 2004 của Chính phủ về chế độ tiền lương đối với cán bộ, công chức, viên chức và lực lượng vũ trang. Trường hợp số giờ dạy vượt định mức giờ chuẩn được thanh toán theo quy định tại Thông tư liên tịch số </w:t>
      </w:r>
      <w:hyperlink r:id="rId22" w:tgtFrame="_blank" w:tooltip="Thông tư liên tịch 07/2013/TTLT-BGDĐT-BNV-BTC" w:history="1">
        <w:r w:rsidRPr="00516C0B">
          <w:rPr>
            <w:rFonts w:eastAsia="Times New Roman" w:cs="Times New Roman"/>
            <w:color w:val="0E70C3"/>
            <w:szCs w:val="24"/>
            <w:lang w:val="vi-VN"/>
          </w:rPr>
          <w:t>07/2013/TTLT-BGDĐT-BNV-BTC</w:t>
        </w:r>
      </w:hyperlink>
      <w:r w:rsidRPr="00516C0B">
        <w:rPr>
          <w:rFonts w:eastAsia="Times New Roman" w:cs="Times New Roman"/>
          <w:color w:val="000000"/>
          <w:szCs w:val="24"/>
          <w:lang w:val="vi-VN"/>
        </w:rPr>
        <w:t> ngày 8 tháng 3 năm 2013 của Bộ Giáo dục và Đào tạo, Bộ Nội vụ, Bộ Tài chính hướng dẫn thực hiện chế độ trả lương dạy thêm giờ đối với nhà giáo trong các cơ sở giáo dục công lập;</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d) Chi tiền công đối với những người tình nguyện tham gia giảng dạy các lớp xóa mù chữ (bao gồm giáo viên thuộc biên chế của cơ sở giáo dục đào tạo công lập và những người ngoài biên chế có đủ tiêu chuẩn, năng lực giảng dạy): Mức chi tiền công theo hợp đồng lao động trên cơ sở lương tối thiểu vùng và đảm bảo tương quan với mức lương giáo viên trong biên chế có cùng trình độ đào tạo, thâm niên công tác dạy cùng cấp học, lớp học theo quy định hiện hành của nhà nước về chế độ tiền lương đối với cán bộ, công chức, viên chức và lực lượng vũ trang;</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Trong trường hợp huy động tình nguyện viên tham gia giảng dạy các lớp xóa mù chữ: Ngân sách nhà nước thực hiện hỗ trợ chi phí ăn, ở, đi lại cho các đối tượng này theo chế độ công tác phí quy định tại Thông tư số </w:t>
      </w:r>
      <w:hyperlink r:id="rId23" w:tgtFrame="_blank" w:tooltip="Thông tư 40/2017/TT-BTC" w:history="1">
        <w:r w:rsidRPr="00516C0B">
          <w:rPr>
            <w:rFonts w:eastAsia="Times New Roman" w:cs="Times New Roman"/>
            <w:color w:val="0E70C3"/>
            <w:szCs w:val="24"/>
            <w:lang w:val="vi-VN"/>
          </w:rPr>
          <w:t>40/2017/TT-BTC</w:t>
        </w:r>
      </w:hyperlink>
      <w:r w:rsidRPr="00516C0B">
        <w:rPr>
          <w:rFonts w:eastAsia="Times New Roman" w:cs="Times New Roman"/>
          <w:color w:val="000000"/>
          <w:szCs w:val="24"/>
          <w:lang w:val="vi-VN"/>
        </w:rPr>
        <w:t> .</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lang w:val="vi-VN"/>
        </w:rPr>
      </w:pPr>
      <w:r w:rsidRPr="00516C0B">
        <w:rPr>
          <w:rFonts w:eastAsia="Times New Roman" w:cs="Times New Roman"/>
          <w:color w:val="000000"/>
          <w:szCs w:val="24"/>
          <w:lang w:val="vi-VN"/>
        </w:rPr>
        <w:t>7. Chi khen thưởng theo quy định của pháp luật về thi đua, khen thưởng.</w:t>
      </w:r>
    </w:p>
    <w:p w:rsidR="00B96D53" w:rsidRPr="00516C0B" w:rsidRDefault="00B96D53" w:rsidP="00DF1A54">
      <w:pPr>
        <w:shd w:val="clear" w:color="auto" w:fill="FFFFFF"/>
        <w:spacing w:after="0" w:line="234" w:lineRule="atLeast"/>
        <w:jc w:val="both"/>
        <w:rPr>
          <w:rFonts w:eastAsia="Times New Roman" w:cs="Times New Roman"/>
          <w:color w:val="000000"/>
          <w:szCs w:val="24"/>
        </w:rPr>
      </w:pPr>
      <w:bookmarkStart w:id="8" w:name="dieu_6"/>
      <w:r w:rsidRPr="00516C0B">
        <w:rPr>
          <w:rFonts w:eastAsia="Times New Roman" w:cs="Times New Roman"/>
          <w:b/>
          <w:bCs/>
          <w:color w:val="000000"/>
          <w:szCs w:val="24"/>
          <w:lang w:val="vi-VN"/>
        </w:rPr>
        <w:t>Điều 6. Tổ chức thực hiện</w:t>
      </w:r>
      <w:bookmarkEnd w:id="8"/>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1. Thông tư này có hiệu lực thi hành kể từ ngày 25 tháng 4 năm 2022.</w:t>
      </w:r>
    </w:p>
    <w:p w:rsidR="00B96D53" w:rsidRPr="00516C0B" w:rsidRDefault="00B96D53" w:rsidP="00DF1A54">
      <w:pPr>
        <w:shd w:val="clear" w:color="auto" w:fill="FFFFFF"/>
        <w:spacing w:after="0" w:line="234" w:lineRule="atLeast"/>
        <w:jc w:val="both"/>
        <w:rPr>
          <w:rFonts w:eastAsia="Times New Roman" w:cs="Times New Roman"/>
          <w:color w:val="000000"/>
          <w:szCs w:val="24"/>
        </w:rPr>
      </w:pPr>
      <w:r w:rsidRPr="00516C0B">
        <w:rPr>
          <w:rFonts w:eastAsia="Times New Roman" w:cs="Times New Roman"/>
          <w:color w:val="000000"/>
          <w:szCs w:val="24"/>
          <w:lang w:val="vi-VN"/>
        </w:rPr>
        <w:t>2. Thông tư số </w:t>
      </w:r>
      <w:hyperlink r:id="rId24" w:tgtFrame="_blank" w:tooltip="Thông tư 07/2018/TT-BTC" w:history="1">
        <w:r w:rsidRPr="00516C0B">
          <w:rPr>
            <w:rFonts w:eastAsia="Times New Roman" w:cs="Times New Roman"/>
            <w:color w:val="0E70C3"/>
            <w:szCs w:val="24"/>
            <w:lang w:val="vi-VN"/>
          </w:rPr>
          <w:t>07/2018/TT-BTC</w:t>
        </w:r>
      </w:hyperlink>
      <w:r w:rsidRPr="00516C0B">
        <w:rPr>
          <w:rFonts w:eastAsia="Times New Roman" w:cs="Times New Roman"/>
          <w:color w:val="000000"/>
          <w:szCs w:val="24"/>
          <w:lang w:val="vi-VN"/>
        </w:rPr>
        <w:t xml:space="preserve"> ngày 24/01/2018 hướng dẫn quản lý và sử dụng kinh phí thực hiện Đề án “Xây dựng xã hội học tập giai đoạn 2012- 2020” hết hiệu lực thi hành kể từ ngày Thông tư này </w:t>
      </w:r>
      <w:bookmarkStart w:id="9" w:name="_GoBack"/>
      <w:bookmarkEnd w:id="9"/>
      <w:r w:rsidRPr="00516C0B">
        <w:rPr>
          <w:rFonts w:eastAsia="Times New Roman" w:cs="Times New Roman"/>
          <w:color w:val="000000"/>
          <w:szCs w:val="24"/>
          <w:lang w:val="vi-VN"/>
        </w:rPr>
        <w:t>có hiệu lực thi hành.</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3. Các mức chi quy định tại Thông tư này là mức chi tối đa làm căn cứ để các cơ quan, tổ chức, cá nhân lập dự toán chi cho việc thực hiện Đề án “Xây dựng xã hội học tập giai đoạn 2021-2030”. Căn cứ tình hình thực tế tại địa phương và khả năng cân đối ngân sách địa phương, Ủy ban nhân dân tỉnh, thành phố trực thuộc Trung ương chủ động trình Hội đồng nhân dân cùng cấp quyết định mức chi cụ thể cho phù hợp để thực hiện ở địa phương.</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4. Ngoài các nội dung và mức chi quy định tại Thông tư này, Hội đồng nhân dân cấp tỉnh quy định về nội dung, mức chi để thực hiện Đề án “Xây dựng xã hội học tập giai đoạn 2021-2030” tại địa phương, bảo đảm phù hợp với quy định của pháp luật về ngân sách nhà nước, nhiệm vụ chuyên môn theo quy định của Bộ Giáo dục và Đào tạo, các địa phương và nguồn lực ngân sách địa phương.</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5. Trường hợp các văn bản quy phạm pháp luật được dẫn chiếu tại Thông tư này được sửa đổi, bổ sung hoặc thay thế bằng văn bản khác thì thực hiện theo văn bản sửa đổi, bổ sung hoặc thay thế đó.</w:t>
      </w:r>
    </w:p>
    <w:p w:rsidR="00B96D53" w:rsidRPr="00516C0B" w:rsidRDefault="00B96D53" w:rsidP="00DF1A54">
      <w:pPr>
        <w:shd w:val="clear" w:color="auto" w:fill="FFFFFF"/>
        <w:spacing w:before="120" w:after="0" w:line="234" w:lineRule="atLeast"/>
        <w:jc w:val="both"/>
        <w:rPr>
          <w:rFonts w:eastAsia="Times New Roman" w:cs="Times New Roman"/>
          <w:color w:val="000000"/>
          <w:szCs w:val="24"/>
        </w:rPr>
      </w:pPr>
      <w:r w:rsidRPr="00516C0B">
        <w:rPr>
          <w:rFonts w:eastAsia="Times New Roman" w:cs="Times New Roman"/>
          <w:color w:val="000000"/>
          <w:szCs w:val="24"/>
          <w:lang w:val="vi-VN"/>
        </w:rPr>
        <w:t>6. Trong quá trình thực hiện nếu có vướng mắc, đề nghị phản ánh kịp thời về Bộ Tài chính để nghiên cứu, giải quyết./.</w:t>
      </w:r>
    </w:p>
    <w:tbl>
      <w:tblPr>
        <w:tblW w:w="9450" w:type="dxa"/>
        <w:tblCellSpacing w:w="0" w:type="dxa"/>
        <w:tblInd w:w="-342" w:type="dxa"/>
        <w:shd w:val="clear" w:color="auto" w:fill="FFFFFF"/>
        <w:tblCellMar>
          <w:left w:w="0" w:type="dxa"/>
          <w:right w:w="0" w:type="dxa"/>
        </w:tblCellMar>
        <w:tblLook w:val="04A0" w:firstRow="1" w:lastRow="0" w:firstColumn="1" w:lastColumn="0" w:noHBand="0" w:noVBand="1"/>
      </w:tblPr>
      <w:tblGrid>
        <w:gridCol w:w="4393"/>
        <w:gridCol w:w="5057"/>
      </w:tblGrid>
      <w:tr w:rsidR="00B96D53" w:rsidRPr="00DF1A54" w:rsidTr="00E67355">
        <w:trPr>
          <w:trHeight w:val="5192"/>
          <w:tblCellSpacing w:w="0" w:type="dxa"/>
        </w:trPr>
        <w:tc>
          <w:tcPr>
            <w:tcW w:w="4393" w:type="dxa"/>
            <w:shd w:val="clear" w:color="auto" w:fill="FFFFFF"/>
            <w:tcMar>
              <w:top w:w="0" w:type="dxa"/>
              <w:left w:w="108" w:type="dxa"/>
              <w:bottom w:w="0" w:type="dxa"/>
              <w:right w:w="108" w:type="dxa"/>
            </w:tcMar>
            <w:hideMark/>
          </w:tcPr>
          <w:p w:rsidR="00B96D53" w:rsidRPr="00DF1A54" w:rsidRDefault="00B96D53" w:rsidP="00F5686F">
            <w:pPr>
              <w:spacing w:before="120" w:after="120" w:line="234" w:lineRule="atLeast"/>
              <w:rPr>
                <w:rFonts w:eastAsia="Times New Roman" w:cs="Times New Roman"/>
                <w:color w:val="000000"/>
                <w:sz w:val="16"/>
                <w:szCs w:val="16"/>
              </w:rPr>
            </w:pPr>
            <w:r w:rsidRPr="00DF1A54">
              <w:rPr>
                <w:rFonts w:eastAsia="Times New Roman" w:cs="Times New Roman"/>
                <w:color w:val="000000"/>
                <w:sz w:val="16"/>
                <w:szCs w:val="16"/>
                <w:lang w:val="vi-VN"/>
              </w:rPr>
              <w:t> </w:t>
            </w:r>
            <w:r w:rsidRPr="00DF1A54">
              <w:rPr>
                <w:rFonts w:eastAsia="Times New Roman" w:cs="Times New Roman"/>
                <w:b/>
                <w:bCs/>
                <w:i/>
                <w:iCs/>
                <w:color w:val="000000"/>
                <w:sz w:val="16"/>
                <w:szCs w:val="16"/>
                <w:lang w:val="vi-VN"/>
              </w:rPr>
              <w:t>Nơi nhận:</w:t>
            </w:r>
            <w:r w:rsidRPr="00DF1A54">
              <w:rPr>
                <w:rFonts w:eastAsia="Times New Roman" w:cs="Times New Roman"/>
                <w:b/>
                <w:bCs/>
                <w:i/>
                <w:iCs/>
                <w:color w:val="000000"/>
                <w:sz w:val="16"/>
                <w:szCs w:val="16"/>
                <w:lang w:val="vi-VN"/>
              </w:rPr>
              <w:br/>
            </w:r>
            <w:r w:rsidRPr="00DF1A54">
              <w:rPr>
                <w:rFonts w:eastAsia="Times New Roman" w:cs="Times New Roman"/>
                <w:color w:val="000000"/>
                <w:sz w:val="16"/>
                <w:szCs w:val="16"/>
                <w:lang w:val="vi-VN"/>
              </w:rPr>
              <w:t>- Ban Bí thư Trung </w:t>
            </w:r>
            <w:r w:rsidRPr="00DF1A54">
              <w:rPr>
                <w:rFonts w:eastAsia="Times New Roman" w:cs="Times New Roman"/>
                <w:color w:val="000000"/>
                <w:sz w:val="16"/>
                <w:szCs w:val="16"/>
              </w:rPr>
              <w:t>ư</w:t>
            </w:r>
            <w:r w:rsidRPr="00DF1A54">
              <w:rPr>
                <w:rFonts w:eastAsia="Times New Roman" w:cs="Times New Roman"/>
                <w:color w:val="000000"/>
                <w:sz w:val="16"/>
                <w:szCs w:val="16"/>
                <w:lang w:val="vi-VN"/>
              </w:rPr>
              <w:t>ơng Đảng;</w:t>
            </w:r>
            <w:r w:rsidRPr="00DF1A54">
              <w:rPr>
                <w:rFonts w:eastAsia="Times New Roman" w:cs="Times New Roman"/>
                <w:color w:val="000000"/>
                <w:sz w:val="16"/>
                <w:szCs w:val="16"/>
                <w:lang w:val="vi-VN"/>
              </w:rPr>
              <w:br/>
              <w:t>- TTCP và các Phó TTCP;</w:t>
            </w:r>
            <w:r w:rsidRPr="00DF1A54">
              <w:rPr>
                <w:rFonts w:eastAsia="Times New Roman" w:cs="Times New Roman"/>
                <w:color w:val="000000"/>
                <w:sz w:val="16"/>
                <w:szCs w:val="16"/>
                <w:lang w:val="vi-VN"/>
              </w:rPr>
              <w:br/>
              <w:t>- VPTW và các Ban của Đảng;</w:t>
            </w:r>
            <w:r w:rsidRPr="00DF1A54">
              <w:rPr>
                <w:rFonts w:eastAsia="Times New Roman" w:cs="Times New Roman"/>
                <w:color w:val="000000"/>
                <w:sz w:val="16"/>
                <w:szCs w:val="16"/>
                <w:lang w:val="vi-VN"/>
              </w:rPr>
              <w:br/>
              <w:t>- Văn phòng Tổng Bí thư;</w:t>
            </w:r>
            <w:r w:rsidRPr="00DF1A54">
              <w:rPr>
                <w:rFonts w:eastAsia="Times New Roman" w:cs="Times New Roman"/>
                <w:color w:val="000000"/>
                <w:sz w:val="16"/>
                <w:szCs w:val="16"/>
                <w:lang w:val="vi-VN"/>
              </w:rPr>
              <w:br/>
              <w:t>- Văn phòng Quốc hội;</w:t>
            </w:r>
            <w:r w:rsidRPr="00DF1A54">
              <w:rPr>
                <w:rFonts w:eastAsia="Times New Roman" w:cs="Times New Roman"/>
                <w:color w:val="000000"/>
                <w:sz w:val="16"/>
                <w:szCs w:val="16"/>
                <w:lang w:val="vi-VN"/>
              </w:rPr>
              <w:br/>
              <w:t>- Văn phòng Chủ tịch Nước;</w:t>
            </w:r>
            <w:r w:rsidRPr="00DF1A54">
              <w:rPr>
                <w:rFonts w:eastAsia="Times New Roman" w:cs="Times New Roman"/>
                <w:color w:val="000000"/>
                <w:sz w:val="16"/>
                <w:szCs w:val="16"/>
                <w:lang w:val="vi-VN"/>
              </w:rPr>
              <w:br/>
              <w:t>- Văn phòng Chính phủ;</w:t>
            </w:r>
            <w:r w:rsidRPr="00DF1A54">
              <w:rPr>
                <w:rFonts w:eastAsia="Times New Roman" w:cs="Times New Roman"/>
                <w:color w:val="000000"/>
                <w:sz w:val="16"/>
                <w:szCs w:val="16"/>
                <w:lang w:val="vi-VN"/>
              </w:rPr>
              <w:br/>
              <w:t>- Viện Kiểm sát nhân dân tối cao;</w:t>
            </w:r>
            <w:r w:rsidRPr="00DF1A54">
              <w:rPr>
                <w:rFonts w:eastAsia="Times New Roman" w:cs="Times New Roman"/>
                <w:color w:val="000000"/>
                <w:sz w:val="16"/>
                <w:szCs w:val="16"/>
                <w:lang w:val="vi-VN"/>
              </w:rPr>
              <w:br/>
              <w:t>- Tòa án nhân dân tối cao;</w:t>
            </w:r>
            <w:r w:rsidRPr="00DF1A54">
              <w:rPr>
                <w:rFonts w:eastAsia="Times New Roman" w:cs="Times New Roman"/>
                <w:color w:val="000000"/>
                <w:sz w:val="16"/>
                <w:szCs w:val="16"/>
                <w:lang w:val="vi-VN"/>
              </w:rPr>
              <w:br/>
              <w:t>- Kiểm toán Nhà nước;</w:t>
            </w:r>
            <w:r w:rsidRPr="00DF1A54">
              <w:rPr>
                <w:rFonts w:eastAsia="Times New Roman" w:cs="Times New Roman"/>
                <w:color w:val="000000"/>
                <w:sz w:val="16"/>
                <w:szCs w:val="16"/>
                <w:lang w:val="vi-VN"/>
              </w:rPr>
              <w:br/>
              <w:t>- Các Bộ, cơ quan ngang Bộ, cơ quan thuộc Chính phủ;</w:t>
            </w:r>
            <w:r w:rsidRPr="00DF1A54">
              <w:rPr>
                <w:rFonts w:eastAsia="Times New Roman" w:cs="Times New Roman"/>
                <w:color w:val="000000"/>
                <w:sz w:val="16"/>
                <w:szCs w:val="16"/>
                <w:lang w:val="vi-VN"/>
              </w:rPr>
              <w:br/>
              <w:t>- Cơ quan trung ương của các Hội, đoàn thể;</w:t>
            </w:r>
            <w:r w:rsidRPr="00DF1A54">
              <w:rPr>
                <w:rFonts w:eastAsia="Times New Roman" w:cs="Times New Roman"/>
                <w:color w:val="000000"/>
                <w:sz w:val="16"/>
                <w:szCs w:val="16"/>
                <w:lang w:val="vi-VN"/>
              </w:rPr>
              <w:br/>
              <w:t>- HĐND, UBND, Sở Tài chính, KBNN các tỉnh, TP trực thuộc TW;</w:t>
            </w:r>
            <w:r w:rsidRPr="00DF1A54">
              <w:rPr>
                <w:rFonts w:eastAsia="Times New Roman" w:cs="Times New Roman"/>
                <w:color w:val="000000"/>
                <w:sz w:val="16"/>
                <w:szCs w:val="16"/>
                <w:lang w:val="vi-VN"/>
              </w:rPr>
              <w:br/>
              <w:t>- Cục Kiểm tra văn bản - Bộ Tư pháp;</w:t>
            </w:r>
            <w:r w:rsidRPr="00DF1A54">
              <w:rPr>
                <w:rFonts w:eastAsia="Times New Roman" w:cs="Times New Roman"/>
                <w:color w:val="000000"/>
                <w:sz w:val="16"/>
                <w:szCs w:val="16"/>
                <w:lang w:val="vi-VN"/>
              </w:rPr>
              <w:br/>
              <w:t>- Công báo;</w:t>
            </w:r>
            <w:r w:rsidRPr="00DF1A54">
              <w:rPr>
                <w:rFonts w:eastAsia="Times New Roman" w:cs="Times New Roman"/>
                <w:color w:val="000000"/>
                <w:sz w:val="16"/>
                <w:szCs w:val="16"/>
                <w:lang w:val="vi-VN"/>
              </w:rPr>
              <w:br/>
              <w:t>- Website Chính phủ;</w:t>
            </w:r>
            <w:r w:rsidRPr="00DF1A54">
              <w:rPr>
                <w:rFonts w:eastAsia="Times New Roman" w:cs="Times New Roman"/>
                <w:color w:val="000000"/>
                <w:sz w:val="16"/>
                <w:szCs w:val="16"/>
                <w:lang w:val="vi-VN"/>
              </w:rPr>
              <w:br/>
              <w:t>- Website Bộ Tài chính;</w:t>
            </w:r>
            <w:r w:rsidRPr="00DF1A54">
              <w:rPr>
                <w:rFonts w:eastAsia="Times New Roman" w:cs="Times New Roman"/>
                <w:color w:val="000000"/>
                <w:sz w:val="16"/>
                <w:szCs w:val="16"/>
                <w:lang w:val="vi-VN"/>
              </w:rPr>
              <w:br/>
              <w:t>- Lưu: VT, HCSN (250b).</w:t>
            </w:r>
          </w:p>
        </w:tc>
        <w:tc>
          <w:tcPr>
            <w:tcW w:w="5057" w:type="dxa"/>
            <w:shd w:val="clear" w:color="auto" w:fill="FFFFFF"/>
            <w:tcMar>
              <w:top w:w="0" w:type="dxa"/>
              <w:left w:w="108" w:type="dxa"/>
              <w:bottom w:w="0" w:type="dxa"/>
              <w:right w:w="108" w:type="dxa"/>
            </w:tcMar>
            <w:hideMark/>
          </w:tcPr>
          <w:p w:rsidR="00B96D53" w:rsidRPr="00DF1A54" w:rsidRDefault="00B96D53" w:rsidP="00B96D53">
            <w:pPr>
              <w:spacing w:before="120" w:after="120" w:line="234" w:lineRule="atLeast"/>
              <w:jc w:val="center"/>
              <w:rPr>
                <w:rFonts w:eastAsia="Times New Roman" w:cs="Times New Roman"/>
                <w:color w:val="000000"/>
                <w:sz w:val="18"/>
                <w:szCs w:val="18"/>
              </w:rPr>
            </w:pPr>
            <w:r w:rsidRPr="00DF1A54">
              <w:rPr>
                <w:rFonts w:eastAsia="Times New Roman" w:cs="Times New Roman"/>
                <w:b/>
                <w:bCs/>
                <w:color w:val="000000"/>
                <w:sz w:val="18"/>
                <w:szCs w:val="18"/>
                <w:lang w:val="vi-VN"/>
              </w:rPr>
              <w:t>KT. BỘ TRƯỞNG</w:t>
            </w:r>
            <w:r w:rsidRPr="00DF1A54">
              <w:rPr>
                <w:rFonts w:eastAsia="Times New Roman" w:cs="Times New Roman"/>
                <w:b/>
                <w:bCs/>
                <w:color w:val="000000"/>
                <w:sz w:val="18"/>
                <w:szCs w:val="18"/>
                <w:lang w:val="vi-VN"/>
              </w:rPr>
              <w:br/>
              <w:t>THỨ TRƯỞNG</w:t>
            </w:r>
            <w:r w:rsidRPr="00DF1A54">
              <w:rPr>
                <w:rFonts w:eastAsia="Times New Roman" w:cs="Times New Roman"/>
                <w:b/>
                <w:bCs/>
                <w:color w:val="000000"/>
                <w:sz w:val="18"/>
                <w:szCs w:val="18"/>
                <w:lang w:val="vi-VN"/>
              </w:rPr>
              <w:br/>
            </w:r>
            <w:r w:rsidRPr="00DF1A54">
              <w:rPr>
                <w:rFonts w:eastAsia="Times New Roman" w:cs="Times New Roman"/>
                <w:b/>
                <w:bCs/>
                <w:color w:val="000000"/>
                <w:sz w:val="18"/>
                <w:szCs w:val="18"/>
                <w:lang w:val="vi-VN"/>
              </w:rPr>
              <w:br/>
            </w:r>
            <w:r w:rsidRPr="00DF1A54">
              <w:rPr>
                <w:rFonts w:eastAsia="Times New Roman" w:cs="Times New Roman"/>
                <w:b/>
                <w:bCs/>
                <w:color w:val="000000"/>
                <w:sz w:val="18"/>
                <w:szCs w:val="18"/>
                <w:lang w:val="vi-VN"/>
              </w:rPr>
              <w:br/>
            </w:r>
            <w:r w:rsidRPr="00DF1A54">
              <w:rPr>
                <w:rFonts w:eastAsia="Times New Roman" w:cs="Times New Roman"/>
                <w:b/>
                <w:bCs/>
                <w:color w:val="000000"/>
                <w:sz w:val="18"/>
                <w:szCs w:val="18"/>
                <w:lang w:val="vi-VN"/>
              </w:rPr>
              <w:br/>
            </w:r>
            <w:r w:rsidRPr="00DF1A54">
              <w:rPr>
                <w:rFonts w:eastAsia="Times New Roman" w:cs="Times New Roman"/>
                <w:b/>
                <w:bCs/>
                <w:color w:val="000000"/>
                <w:sz w:val="18"/>
                <w:szCs w:val="18"/>
                <w:lang w:val="vi-VN"/>
              </w:rPr>
              <w:br/>
              <w:t>Võ Thành Hưng</w:t>
            </w:r>
          </w:p>
        </w:tc>
      </w:tr>
    </w:tbl>
    <w:p w:rsidR="004A0325" w:rsidRPr="00B96D53" w:rsidRDefault="004A0325" w:rsidP="00B96D53">
      <w:pPr>
        <w:jc w:val="both"/>
        <w:rPr>
          <w:rFonts w:cs="Times New Roman"/>
          <w:sz w:val="28"/>
          <w:szCs w:val="28"/>
        </w:rPr>
      </w:pPr>
    </w:p>
    <w:sectPr w:rsidR="004A0325" w:rsidRPr="00B96D53" w:rsidSect="00516C0B">
      <w:headerReference w:type="default" r:id="rId25"/>
      <w:pgSz w:w="11907" w:h="16840" w:code="9"/>
      <w:pgMar w:top="568" w:right="1417" w:bottom="540"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208" w:rsidRDefault="00903208" w:rsidP="00B96D53">
      <w:pPr>
        <w:spacing w:after="0" w:line="240" w:lineRule="auto"/>
      </w:pPr>
      <w:r>
        <w:separator/>
      </w:r>
    </w:p>
  </w:endnote>
  <w:endnote w:type="continuationSeparator" w:id="0">
    <w:p w:rsidR="00903208" w:rsidRDefault="00903208" w:rsidP="00B96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208" w:rsidRDefault="00903208" w:rsidP="00B96D53">
      <w:pPr>
        <w:spacing w:after="0" w:line="240" w:lineRule="auto"/>
      </w:pPr>
      <w:r>
        <w:separator/>
      </w:r>
    </w:p>
  </w:footnote>
  <w:footnote w:type="continuationSeparator" w:id="0">
    <w:p w:rsidR="00903208" w:rsidRDefault="00903208" w:rsidP="00B96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487231"/>
      <w:docPartObj>
        <w:docPartGallery w:val="Page Numbers (Top of Page)"/>
        <w:docPartUnique/>
      </w:docPartObj>
    </w:sdtPr>
    <w:sdtEndPr>
      <w:rPr>
        <w:noProof/>
      </w:rPr>
    </w:sdtEndPr>
    <w:sdtContent>
      <w:p w:rsidR="00B96D53" w:rsidRDefault="00B96D53">
        <w:pPr>
          <w:pStyle w:val="Header"/>
          <w:jc w:val="center"/>
        </w:pPr>
        <w:r>
          <w:fldChar w:fldCharType="begin"/>
        </w:r>
        <w:r>
          <w:instrText xml:space="preserve"> PAGE   \* MERGEFORMAT </w:instrText>
        </w:r>
        <w:r>
          <w:fldChar w:fldCharType="separate"/>
        </w:r>
        <w:r w:rsidR="00040CBB">
          <w:rPr>
            <w:noProof/>
          </w:rPr>
          <w:t>3</w:t>
        </w:r>
        <w:r>
          <w:rPr>
            <w:noProof/>
          </w:rPr>
          <w:fldChar w:fldCharType="end"/>
        </w:r>
      </w:p>
    </w:sdtContent>
  </w:sdt>
  <w:p w:rsidR="00B96D53" w:rsidRDefault="00B96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53"/>
    <w:rsid w:val="00032FDC"/>
    <w:rsid w:val="00040CBB"/>
    <w:rsid w:val="001453D9"/>
    <w:rsid w:val="004A0325"/>
    <w:rsid w:val="004D3B11"/>
    <w:rsid w:val="00516C0B"/>
    <w:rsid w:val="008B2C1E"/>
    <w:rsid w:val="00903208"/>
    <w:rsid w:val="00973E84"/>
    <w:rsid w:val="00B96D53"/>
    <w:rsid w:val="00DF1A54"/>
    <w:rsid w:val="00E67355"/>
    <w:rsid w:val="00F5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D4E1A-303E-457E-9105-D430B1A5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D53"/>
  </w:style>
  <w:style w:type="paragraph" w:styleId="Footer">
    <w:name w:val="footer"/>
    <w:basedOn w:val="Normal"/>
    <w:link w:val="FooterChar"/>
    <w:uiPriority w:val="99"/>
    <w:unhideWhenUsed/>
    <w:rsid w:val="00B96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D53"/>
  </w:style>
  <w:style w:type="paragraph" w:styleId="BalloonText">
    <w:name w:val="Balloon Text"/>
    <w:basedOn w:val="Normal"/>
    <w:link w:val="BalloonTextChar"/>
    <w:uiPriority w:val="99"/>
    <w:semiHidden/>
    <w:unhideWhenUsed/>
    <w:rsid w:val="00F56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8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7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1373-qd-ttg-2021-de-an-xay-dung-xa-hoi-hoc-tap-2021-2030-483017.aspx" TargetMode="External"/><Relationship Id="rId13" Type="http://schemas.openxmlformats.org/officeDocument/2006/relationships/hyperlink" Target="https://thuvienphapluat.vn/van-ban/tai-chinh-nha-nuoc/thong-tu-76-2018-tt-btc-muc-chi-xay-dung-chuong-trinh-bien-soan-giao-trinh-giao-duc-dai-hoc-393221.aspx" TargetMode="External"/><Relationship Id="rId18" Type="http://schemas.openxmlformats.org/officeDocument/2006/relationships/hyperlink" Target="https://thuvienphapluat.vn/van-ban/bo-may-hanh-chinh/thong-tu-40-2017-tt-btc-cong-tac-phi-chi-hoi-nghi-doi-voi-co-quan-nha-nuoc-su-nghiep-cong-lap-327960.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huvienphapluat.vn/van-ban/lao-dong-tien-luong/nghi-dinh-204-2004-nd-cp-che-do-tien-luong-doi-voi-can-bo-cong-chuc-vien-chuc-luc-luong-vu-trang-52629.aspx" TargetMode="External"/><Relationship Id="rId7" Type="http://schemas.openxmlformats.org/officeDocument/2006/relationships/hyperlink" Target="https://thuvienphapluat.vn/van-ban/bo-may-hanh-chinh/nghi-dinh-87-2017-nd-cp-chuc-nang-nhiem-vu-quyen-han-va-co-cau-to-chuc-cua-bo-tai-chinh-327957.aspx" TargetMode="External"/><Relationship Id="rId12" Type="http://schemas.openxmlformats.org/officeDocument/2006/relationships/hyperlink" Target="https://thuvienphapluat.vn/van-ban/tai-chinh-nha-nuoc/thong-tu-109-2016-tt-btc-lap-du-toan-su-dung-quyet-toan-kinh-phi-thuc-hien-dieu-tra-thong-ke-316840.aspx" TargetMode="External"/><Relationship Id="rId17" Type="http://schemas.openxmlformats.org/officeDocument/2006/relationships/hyperlink" Target="https://thuvienphapluat.vn/van-ban/bo-may-hanh-chinh/thong-tu-36-2018-tt-btc-huong-dan-lap-du-toan-quan-ly-kinh-phi-dao-tao-can-bo-cong-chuc-383277.aspx"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thuvienphapluat.vn/van-ban/tai-chinh-nha-nuoc/thong-tu-lien-tich-14-2014-ttlt-btc-btp-pho-bien-giao-duc-phap-luat-chuan-tiep-can-phap-luat-220705.aspx" TargetMode="External"/><Relationship Id="rId20" Type="http://schemas.openxmlformats.org/officeDocument/2006/relationships/hyperlink" Target="https://thuvienphapluat.vn/van-ban/tai-chinh-nha-nuoc/thong-tu-109-2016-tt-btc-lap-du-toan-su-dung-quyet-toan-kinh-phi-thuc-hien-dieu-tra-thong-ke-316840.aspx" TargetMode="External"/><Relationship Id="rId1" Type="http://schemas.openxmlformats.org/officeDocument/2006/relationships/styles" Target="styles.xml"/><Relationship Id="rId6" Type="http://schemas.openxmlformats.org/officeDocument/2006/relationships/hyperlink" Target="https://thuvienphapluat.vn/van-ban/tai-chinh-nha-nuoc/nghi-dinh-163-2016-nd-cp-huong-dan-luat-ngan-sach-nha-nuoc-335331.aspx" TargetMode="External"/><Relationship Id="rId11" Type="http://schemas.openxmlformats.org/officeDocument/2006/relationships/hyperlink" Target="https://thuvienphapluat.vn/van-ban/bo-may-hanh-chinh/thong-tu-40-2017-tt-btc-cong-tac-phi-chi-hoi-nghi-doi-voi-co-quan-nha-nuoc-su-nghiep-cong-lap-327960.aspx" TargetMode="External"/><Relationship Id="rId24" Type="http://schemas.openxmlformats.org/officeDocument/2006/relationships/hyperlink" Target="https://thuvienphapluat.vn/van-ban/tai-chinh-nha-nuoc/thong-tu-07-2018-tt-btc-kinh-phi-thuc-hien-de-an-xay-dung-xa-hoi-hoc-tap-380544.aspx" TargetMode="External"/><Relationship Id="rId5" Type="http://schemas.openxmlformats.org/officeDocument/2006/relationships/endnotes" Target="endnotes.xml"/><Relationship Id="rId15" Type="http://schemas.openxmlformats.org/officeDocument/2006/relationships/hyperlink" Target="https://thuvienphapluat.vn/van-ban/bo-may-hanh-chinh/thong-tu-40-2017-tt-btc-cong-tac-phi-chi-hoi-nghi-doi-voi-co-quan-nha-nuoc-su-nghiep-cong-lap-327960.aspx" TargetMode="External"/><Relationship Id="rId23" Type="http://schemas.openxmlformats.org/officeDocument/2006/relationships/hyperlink" Target="https://thuvienphapluat.vn/van-ban/bo-may-hanh-chinh/thong-tu-40-2017-tt-btc-cong-tac-phi-chi-hoi-nghi-doi-voi-co-quan-nha-nuoc-su-nghiep-cong-lap-327960.aspx" TargetMode="External"/><Relationship Id="rId10" Type="http://schemas.openxmlformats.org/officeDocument/2006/relationships/hyperlink" Target="https://thuvienphapluat.vn/phap-luat/tim-van-ban.aspx?keyword=1373/Q%C4%90-TTg&amp;match=True&amp;area=2&amp;lan=1" TargetMode="External"/><Relationship Id="rId19" Type="http://schemas.openxmlformats.org/officeDocument/2006/relationships/hyperlink" Target="https://thuvienphapluat.vn/van-ban/tai-chinh-nha-nuoc/thong-tu-109-2016-tt-btc-lap-du-toan-su-dung-quyet-toan-kinh-phi-thuc-hien-dieu-tra-thong-ke-316840.aspx" TargetMode="External"/><Relationship Id="rId4" Type="http://schemas.openxmlformats.org/officeDocument/2006/relationships/footnotes" Target="footnotes.xml"/><Relationship Id="rId9" Type="http://schemas.openxmlformats.org/officeDocument/2006/relationships/hyperlink" Target="https://thuvienphapluat.vn/van-ban/giao-duc/quyet-dinh-1373-qd-ttg-2021-de-an-xay-dung-xa-hoi-hoc-tap-2021-2030-483017.aspx" TargetMode="External"/><Relationship Id="rId14" Type="http://schemas.openxmlformats.org/officeDocument/2006/relationships/hyperlink" Target="https://thuvienphapluat.vn/van-ban/tai-chinh-nha-nuoc/thong-tu-lien-tich-14-2014-ttlt-btc-btp-pho-bien-giao-duc-phap-luat-chuan-tiep-can-phap-luat-220705.aspx" TargetMode="External"/><Relationship Id="rId22" Type="http://schemas.openxmlformats.org/officeDocument/2006/relationships/hyperlink" Target="https://thuvienphapluat.vn/van-ban/lao-dong-tien-luong/thong-tu-lien-tich-07-2013-ttlt-bgddt-bnv-btc-huong-dan-che-do-tra-luong-176067.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cp:lastPrinted>2022-08-31T07:18:00Z</cp:lastPrinted>
  <dcterms:created xsi:type="dcterms:W3CDTF">2022-03-28T01:19:00Z</dcterms:created>
  <dcterms:modified xsi:type="dcterms:W3CDTF">2022-08-31T07:19:00Z</dcterms:modified>
</cp:coreProperties>
</file>